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B1" w:rsidRPr="008800B1" w:rsidRDefault="008800B1" w:rsidP="008800B1">
      <w:pPr>
        <w:jc w:val="center"/>
        <w:rPr>
          <w:sz w:val="28"/>
          <w:szCs w:val="28"/>
        </w:rPr>
      </w:pPr>
      <w:r w:rsidRPr="00555AD6">
        <w:rPr>
          <w:sz w:val="28"/>
          <w:szCs w:val="28"/>
        </w:rPr>
        <w:t>ΤΥΠΟΙ ΤΟΥ ΚΕΦΑΛΑΙΟΥ</w:t>
      </w:r>
      <w:r>
        <w:rPr>
          <w:sz w:val="28"/>
          <w:szCs w:val="28"/>
          <w:lang w:val="en-US"/>
        </w:rPr>
        <w:t xml:space="preserve"> </w:t>
      </w:r>
      <w:r>
        <w:rPr>
          <w:sz w:val="28"/>
          <w:szCs w:val="28"/>
        </w:rPr>
        <w:t>ΚΙΝΗΤΙΚΗΣ</w:t>
      </w:r>
    </w:p>
    <w:tbl>
      <w:tblPr>
        <w:tblStyle w:val="a4"/>
        <w:tblW w:w="0" w:type="auto"/>
        <w:tblLook w:val="04A0"/>
      </w:tblPr>
      <w:tblGrid>
        <w:gridCol w:w="3640"/>
        <w:gridCol w:w="4882"/>
      </w:tblGrid>
      <w:tr w:rsidR="008800B1" w:rsidTr="00D7161B">
        <w:tc>
          <w:tcPr>
            <w:tcW w:w="9889" w:type="dxa"/>
            <w:gridSpan w:val="2"/>
          </w:tcPr>
          <w:p w:rsidR="008800B1" w:rsidRPr="0077172C" w:rsidRDefault="008800B1" w:rsidP="00D7161B">
            <w:pPr>
              <w:jc w:val="center"/>
            </w:pPr>
            <w:r>
              <w:t>ΕΥΘΥΓΡΑΜΜΕΣ ΚΙΝΗΣΕΙΣ Δ</w:t>
            </w:r>
            <w:r>
              <w:rPr>
                <w:lang w:val="en-US"/>
              </w:rPr>
              <w:t>x</w:t>
            </w:r>
            <w:r w:rsidRPr="0077172C">
              <w:t xml:space="preserve">= </w:t>
            </w:r>
            <w:proofErr w:type="spellStart"/>
            <w:r>
              <w:rPr>
                <w:lang w:val="en-US"/>
              </w:rPr>
              <w:t>x</w:t>
            </w:r>
            <w:r w:rsidRPr="0077172C">
              <w:rPr>
                <w:vertAlign w:val="subscript"/>
                <w:lang w:val="en-US"/>
              </w:rPr>
              <w:t>T</w:t>
            </w:r>
            <w:proofErr w:type="spellEnd"/>
            <w:r w:rsidRPr="0077172C">
              <w:t>-</w:t>
            </w:r>
            <w:proofErr w:type="spellStart"/>
            <w:r>
              <w:rPr>
                <w:lang w:val="en-US"/>
              </w:rPr>
              <w:t>x</w:t>
            </w:r>
            <w:r w:rsidRPr="0077172C">
              <w:rPr>
                <w:vertAlign w:val="subscript"/>
                <w:lang w:val="en-US"/>
              </w:rPr>
              <w:t>A</w:t>
            </w:r>
            <w:proofErr w:type="spellEnd"/>
          </w:p>
        </w:tc>
      </w:tr>
      <w:tr w:rsidR="008800B1" w:rsidTr="00D7161B">
        <w:tc>
          <w:tcPr>
            <w:tcW w:w="4261" w:type="dxa"/>
          </w:tcPr>
          <w:p w:rsidR="008800B1" w:rsidRDefault="008800B1" w:rsidP="00D7161B">
            <w:r>
              <w:t>ΟΜΑΛΗ</w:t>
            </w:r>
          </w:p>
        </w:tc>
        <w:tc>
          <w:tcPr>
            <w:tcW w:w="5628" w:type="dxa"/>
          </w:tcPr>
          <w:p w:rsidR="008800B1" w:rsidRDefault="008800B1" w:rsidP="00D7161B">
            <w:r>
              <w:t>ΟΜΑΛΑ ΜΕΤΑΒΑΛΛΟΜΕΝΗ</w:t>
            </w:r>
          </w:p>
        </w:tc>
      </w:tr>
      <w:tr w:rsidR="008800B1" w:rsidTr="00D7161B">
        <w:tc>
          <w:tcPr>
            <w:tcW w:w="4261" w:type="dxa"/>
          </w:tcPr>
          <w:p w:rsidR="008800B1" w:rsidRPr="00F82690" w:rsidRDefault="008800B1" w:rsidP="00D7161B">
            <w:r>
              <w:rPr>
                <w:lang w:val="en-US"/>
              </w:rPr>
              <w:t>u=</w:t>
            </w:r>
            <w:r>
              <w:t>σταθερή</w:t>
            </w:r>
          </w:p>
        </w:tc>
        <w:tc>
          <w:tcPr>
            <w:tcW w:w="5628" w:type="dxa"/>
          </w:tcPr>
          <w:p w:rsidR="008800B1" w:rsidRDefault="008800B1" w:rsidP="00D7161B">
            <w:proofErr w:type="spellStart"/>
            <w:r>
              <w:t>α=σταθερή</w:t>
            </w:r>
            <w:proofErr w:type="spellEnd"/>
          </w:p>
        </w:tc>
      </w:tr>
      <w:tr w:rsidR="008800B1" w:rsidRPr="00F82690" w:rsidTr="00D7161B">
        <w:tc>
          <w:tcPr>
            <w:tcW w:w="4261" w:type="dxa"/>
          </w:tcPr>
          <w:p w:rsidR="008800B1" w:rsidRPr="00F82690" w:rsidRDefault="008800B1" w:rsidP="00D7161B">
            <w:pPr>
              <w:rPr>
                <w:lang w:val="en-US"/>
              </w:rPr>
            </w:pPr>
            <w:r>
              <w:t>Δ</w:t>
            </w:r>
            <w:r>
              <w:rPr>
                <w:lang w:val="en-US"/>
              </w:rPr>
              <w:t>x= u.</w:t>
            </w:r>
            <w:r>
              <w:t>Δ</w:t>
            </w:r>
            <w:r>
              <w:rPr>
                <w:lang w:val="en-US"/>
              </w:rPr>
              <w:t>t=u.(</w:t>
            </w:r>
            <w:proofErr w:type="spellStart"/>
            <w:r>
              <w:rPr>
                <w:lang w:val="en-US"/>
              </w:rPr>
              <w:t>t</w:t>
            </w:r>
            <w:r w:rsidRPr="00731C36">
              <w:rPr>
                <w:vertAlign w:val="subscript"/>
                <w:lang w:val="en-US"/>
              </w:rPr>
              <w:t>T</w:t>
            </w:r>
            <w:r>
              <w:rPr>
                <w:lang w:val="en-US"/>
              </w:rPr>
              <w:t>-t</w:t>
            </w:r>
            <w:r w:rsidRPr="00731C36">
              <w:rPr>
                <w:vertAlign w:val="subscript"/>
                <w:lang w:val="en-US"/>
              </w:rPr>
              <w:t>A</w:t>
            </w:r>
            <w:proofErr w:type="spellEnd"/>
            <w:r>
              <w:rPr>
                <w:lang w:val="en-US"/>
              </w:rPr>
              <w:t>)</w:t>
            </w:r>
          </w:p>
        </w:tc>
        <w:tc>
          <w:tcPr>
            <w:tcW w:w="5628" w:type="dxa"/>
          </w:tcPr>
          <w:p w:rsidR="008800B1" w:rsidRPr="00F82690" w:rsidRDefault="008800B1" w:rsidP="00D7161B">
            <w:pPr>
              <w:rPr>
                <w:lang w:val="en-US"/>
              </w:rPr>
            </w:pPr>
            <w:proofErr w:type="spellStart"/>
            <w:r>
              <w:rPr>
                <w:lang w:val="en-US"/>
              </w:rPr>
              <w:t>u</w:t>
            </w:r>
            <w:r w:rsidRPr="00F67E3B">
              <w:rPr>
                <w:vertAlign w:val="subscript"/>
                <w:lang w:val="en-US"/>
              </w:rPr>
              <w:t>T</w:t>
            </w:r>
            <w:proofErr w:type="spellEnd"/>
            <w:r>
              <w:rPr>
                <w:lang w:val="en-US"/>
              </w:rPr>
              <w:t xml:space="preserve">= </w:t>
            </w:r>
            <w:proofErr w:type="spellStart"/>
            <w:r>
              <w:rPr>
                <w:lang w:val="en-US"/>
              </w:rPr>
              <w:t>u</w:t>
            </w:r>
            <w:r w:rsidRPr="00F67E3B">
              <w:rPr>
                <w:vertAlign w:val="subscript"/>
                <w:lang w:val="en-US"/>
              </w:rPr>
              <w:t>A</w:t>
            </w:r>
            <w:proofErr w:type="spellEnd"/>
            <w:r>
              <w:rPr>
                <w:lang w:val="en-US"/>
              </w:rPr>
              <w:t xml:space="preserve">+ </w:t>
            </w:r>
            <w:r>
              <w:t>α.(</w:t>
            </w:r>
            <w:proofErr w:type="spellStart"/>
            <w:r>
              <w:rPr>
                <w:lang w:val="en-US"/>
              </w:rPr>
              <w:t>t</w:t>
            </w:r>
            <w:r w:rsidRPr="00731C36">
              <w:rPr>
                <w:vertAlign w:val="subscript"/>
                <w:lang w:val="en-US"/>
              </w:rPr>
              <w:t>T</w:t>
            </w:r>
            <w:proofErr w:type="spellEnd"/>
            <w:r>
              <w:rPr>
                <w:vertAlign w:val="subscript"/>
                <w:lang w:val="en-US"/>
              </w:rPr>
              <w:t xml:space="preserve"> </w:t>
            </w:r>
            <w:r>
              <w:rPr>
                <w:lang w:val="en-US"/>
              </w:rPr>
              <w:t>-</w:t>
            </w:r>
            <w:proofErr w:type="spellStart"/>
            <w:r>
              <w:rPr>
                <w:lang w:val="en-US"/>
              </w:rPr>
              <w:t>t</w:t>
            </w:r>
            <w:r w:rsidRPr="00731C36">
              <w:rPr>
                <w:vertAlign w:val="subscript"/>
                <w:lang w:val="en-US"/>
              </w:rPr>
              <w:t>A</w:t>
            </w:r>
            <w:proofErr w:type="spellEnd"/>
            <w:r>
              <w:rPr>
                <w:lang w:val="en-US"/>
              </w:rPr>
              <w:t>)</w:t>
            </w:r>
          </w:p>
        </w:tc>
      </w:tr>
      <w:tr w:rsidR="008800B1" w:rsidRPr="00AB36A4" w:rsidTr="00D7161B">
        <w:tc>
          <w:tcPr>
            <w:tcW w:w="4261" w:type="dxa"/>
          </w:tcPr>
          <w:p w:rsidR="008800B1" w:rsidRDefault="008800B1" w:rsidP="00D7161B">
            <w:r>
              <w:t>α= 0</w:t>
            </w:r>
          </w:p>
        </w:tc>
        <w:tc>
          <w:tcPr>
            <w:tcW w:w="5628" w:type="dxa"/>
          </w:tcPr>
          <w:p w:rsidR="008800B1" w:rsidRDefault="008800B1" w:rsidP="00D7161B">
            <w:pPr>
              <w:rPr>
                <w:lang w:val="en-US"/>
              </w:rPr>
            </w:pPr>
            <w:r>
              <w:t>Δ</w:t>
            </w:r>
            <w:r>
              <w:rPr>
                <w:lang w:val="en-US"/>
              </w:rPr>
              <w:t xml:space="preserve">x= </w:t>
            </w:r>
            <w:proofErr w:type="spellStart"/>
            <w:r>
              <w:rPr>
                <w:lang w:val="en-US"/>
              </w:rPr>
              <w:t>u</w:t>
            </w:r>
            <w:r w:rsidRPr="00F67E3B">
              <w:rPr>
                <w:vertAlign w:val="subscript"/>
                <w:lang w:val="en-US"/>
              </w:rPr>
              <w:t>A</w:t>
            </w:r>
            <w:proofErr w:type="spellEnd"/>
            <w:r>
              <w:rPr>
                <w:lang w:val="en-US"/>
              </w:rPr>
              <w:t>.(</w:t>
            </w:r>
            <w:proofErr w:type="spellStart"/>
            <w:r>
              <w:rPr>
                <w:lang w:val="en-US"/>
              </w:rPr>
              <w:t>t</w:t>
            </w:r>
            <w:r w:rsidRPr="00F82690">
              <w:rPr>
                <w:vertAlign w:val="subscript"/>
                <w:lang w:val="en-US"/>
              </w:rPr>
              <w:t>T</w:t>
            </w:r>
            <w:proofErr w:type="spellEnd"/>
            <w:r>
              <w:rPr>
                <w:vertAlign w:val="subscript"/>
                <w:lang w:val="en-US"/>
              </w:rPr>
              <w:t xml:space="preserve"> </w:t>
            </w:r>
            <w:r>
              <w:rPr>
                <w:lang w:val="en-US"/>
              </w:rPr>
              <w:t>-</w:t>
            </w:r>
            <w:proofErr w:type="spellStart"/>
            <w:r>
              <w:rPr>
                <w:lang w:val="en-US"/>
              </w:rPr>
              <w:t>t</w:t>
            </w:r>
            <w:r w:rsidRPr="00731C36">
              <w:rPr>
                <w:vertAlign w:val="subscript"/>
                <w:lang w:val="en-US"/>
              </w:rPr>
              <w:t>A</w:t>
            </w:r>
            <w:proofErr w:type="spellEnd"/>
            <w:r>
              <w:rPr>
                <w:lang w:val="en-US"/>
              </w:rPr>
              <w:t>)+1/2.</w:t>
            </w:r>
            <w:r>
              <w:t>α</w:t>
            </w:r>
            <w:r w:rsidRPr="00F82690">
              <w:rPr>
                <w:lang w:val="en-US"/>
              </w:rPr>
              <w:t>.(</w:t>
            </w:r>
            <w:proofErr w:type="spellStart"/>
            <w:r>
              <w:rPr>
                <w:lang w:val="en-US"/>
              </w:rPr>
              <w:t>t</w:t>
            </w:r>
            <w:r w:rsidRPr="00731C36">
              <w:rPr>
                <w:vertAlign w:val="subscript"/>
                <w:lang w:val="en-US"/>
              </w:rPr>
              <w:t>T</w:t>
            </w:r>
            <w:proofErr w:type="spellEnd"/>
            <w:r>
              <w:rPr>
                <w:vertAlign w:val="subscript"/>
                <w:lang w:val="en-US"/>
              </w:rPr>
              <w:t xml:space="preserve"> </w:t>
            </w:r>
            <w:r>
              <w:rPr>
                <w:lang w:val="en-US"/>
              </w:rPr>
              <w:t>-</w:t>
            </w:r>
            <w:proofErr w:type="spellStart"/>
            <w:r>
              <w:rPr>
                <w:lang w:val="en-US"/>
              </w:rPr>
              <w:t>t</w:t>
            </w:r>
            <w:r w:rsidRPr="00731C36">
              <w:rPr>
                <w:vertAlign w:val="subscript"/>
                <w:lang w:val="en-US"/>
              </w:rPr>
              <w:t>A</w:t>
            </w:r>
            <w:proofErr w:type="spellEnd"/>
            <w:r>
              <w:rPr>
                <w:lang w:val="en-US"/>
              </w:rPr>
              <w:t>)</w:t>
            </w:r>
            <w:r w:rsidRPr="00731C36">
              <w:rPr>
                <w:vertAlign w:val="superscript"/>
                <w:lang w:val="en-US"/>
              </w:rPr>
              <w:t>2</w:t>
            </w:r>
            <w:r>
              <w:rPr>
                <w:lang w:val="en-US"/>
              </w:rPr>
              <w:t xml:space="preserve"> </w:t>
            </w:r>
            <w:r>
              <w:t>ή</w:t>
            </w:r>
            <w:r>
              <w:rPr>
                <w:lang w:val="en-US"/>
              </w:rPr>
              <w:t xml:space="preserve"> </w:t>
            </w:r>
          </w:p>
          <w:p w:rsidR="008800B1" w:rsidRDefault="008800B1" w:rsidP="00D7161B">
            <w:pPr>
              <w:rPr>
                <w:lang w:val="en-US"/>
              </w:rPr>
            </w:pPr>
            <w:r>
              <w:t>Δ</w:t>
            </w:r>
            <w:r>
              <w:rPr>
                <w:lang w:val="en-US"/>
              </w:rPr>
              <w:t xml:space="preserve">x= </w:t>
            </w:r>
            <w:proofErr w:type="spellStart"/>
            <w:r>
              <w:rPr>
                <w:lang w:val="en-US"/>
              </w:rPr>
              <w:t>u</w:t>
            </w:r>
            <w:r w:rsidRPr="00F67E3B">
              <w:rPr>
                <w:vertAlign w:val="subscript"/>
                <w:lang w:val="en-US"/>
              </w:rPr>
              <w:t>A</w:t>
            </w:r>
            <w:proofErr w:type="spellEnd"/>
            <w:r>
              <w:rPr>
                <w:lang w:val="en-US"/>
              </w:rPr>
              <w:t>.</w:t>
            </w:r>
            <w:r>
              <w:t>Δ</w:t>
            </w:r>
            <w:r>
              <w:rPr>
                <w:lang w:val="en-US"/>
              </w:rPr>
              <w:t>t+1/2.</w:t>
            </w:r>
            <w:r>
              <w:t>α</w:t>
            </w:r>
            <w:r>
              <w:rPr>
                <w:lang w:val="en-US"/>
              </w:rPr>
              <w:t>.</w:t>
            </w:r>
            <w:r>
              <w:t>Δ</w:t>
            </w:r>
            <w:r>
              <w:rPr>
                <w:lang w:val="en-US"/>
              </w:rPr>
              <w:t>t</w:t>
            </w:r>
            <w:r w:rsidRPr="00731C36">
              <w:rPr>
                <w:vertAlign w:val="superscript"/>
                <w:lang w:val="en-US"/>
              </w:rPr>
              <w:t xml:space="preserve">2 </w:t>
            </w:r>
            <w:r>
              <w:t>ή</w:t>
            </w:r>
            <w:r>
              <w:rPr>
                <w:lang w:val="en-US"/>
              </w:rPr>
              <w:t xml:space="preserve"> </w:t>
            </w:r>
          </w:p>
          <w:p w:rsidR="008800B1" w:rsidRPr="00F82690" w:rsidRDefault="008800B1" w:rsidP="00D7161B">
            <w:pPr>
              <w:rPr>
                <w:lang w:val="en-US"/>
              </w:rPr>
            </w:pPr>
          </w:p>
        </w:tc>
      </w:tr>
    </w:tbl>
    <w:p w:rsidR="008800B1" w:rsidRPr="00555AD6" w:rsidRDefault="008800B1" w:rsidP="008800B1">
      <w:pPr>
        <w:jc w:val="center"/>
        <w:rPr>
          <w:sz w:val="28"/>
          <w:szCs w:val="28"/>
        </w:rPr>
      </w:pPr>
      <w:r w:rsidRPr="00555AD6">
        <w:rPr>
          <w:sz w:val="28"/>
          <w:szCs w:val="28"/>
        </w:rPr>
        <w:t>ΔΙΑΓΡΑΜΜΑΤ</w:t>
      </w:r>
      <w:r>
        <w:rPr>
          <w:sz w:val="28"/>
          <w:szCs w:val="28"/>
        </w:rPr>
        <w:t xml:space="preserve">Α  </w:t>
      </w:r>
      <w:r w:rsidRPr="00555AD6">
        <w:rPr>
          <w:sz w:val="28"/>
          <w:szCs w:val="28"/>
        </w:rPr>
        <w:t xml:space="preserve"> ΤΟΥ ΚΕΦΑΛΑΙΟΥ</w:t>
      </w:r>
    </w:p>
    <w:tbl>
      <w:tblPr>
        <w:tblStyle w:val="a4"/>
        <w:tblW w:w="0" w:type="auto"/>
        <w:tblLook w:val="04A0"/>
      </w:tblPr>
      <w:tblGrid>
        <w:gridCol w:w="3680"/>
        <w:gridCol w:w="4842"/>
      </w:tblGrid>
      <w:tr w:rsidR="008800B1" w:rsidTr="00D7161B">
        <w:tc>
          <w:tcPr>
            <w:tcW w:w="9889" w:type="dxa"/>
            <w:gridSpan w:val="2"/>
          </w:tcPr>
          <w:p w:rsidR="008800B1" w:rsidRPr="00555AD6" w:rsidRDefault="008800B1" w:rsidP="00D7161B">
            <w:pPr>
              <w:jc w:val="center"/>
              <w:rPr>
                <w:sz w:val="28"/>
                <w:szCs w:val="28"/>
                <w:lang w:val="en-US"/>
              </w:rPr>
            </w:pPr>
            <w:r w:rsidRPr="00555AD6">
              <w:rPr>
                <w:sz w:val="28"/>
                <w:szCs w:val="28"/>
                <w:lang w:val="en-US"/>
              </w:rPr>
              <w:t>x</w:t>
            </w:r>
            <w:r w:rsidRPr="00555AD6">
              <w:rPr>
                <w:sz w:val="28"/>
                <w:szCs w:val="28"/>
              </w:rPr>
              <w:t>-</w:t>
            </w:r>
            <w:r w:rsidRPr="00555AD6">
              <w:rPr>
                <w:sz w:val="28"/>
                <w:szCs w:val="28"/>
                <w:lang w:val="en-US"/>
              </w:rPr>
              <w:t>t</w:t>
            </w:r>
          </w:p>
        </w:tc>
      </w:tr>
      <w:tr w:rsidR="008800B1" w:rsidTr="00D7161B">
        <w:tc>
          <w:tcPr>
            <w:tcW w:w="4261" w:type="dxa"/>
          </w:tcPr>
          <w:p w:rsidR="008800B1" w:rsidRPr="00A97702" w:rsidRDefault="008800B1" w:rsidP="00D7161B">
            <w:r>
              <w:t>ΟΜΑΛΗ</w:t>
            </w:r>
          </w:p>
        </w:tc>
        <w:tc>
          <w:tcPr>
            <w:tcW w:w="5628" w:type="dxa"/>
          </w:tcPr>
          <w:p w:rsidR="008800B1" w:rsidRPr="00A97702" w:rsidRDefault="008800B1" w:rsidP="00D7161B">
            <w:r>
              <w:t>ΟΜΑΛΑ ΜΕΤΑΒΑΛΛΟΜΕΝΗ</w:t>
            </w:r>
          </w:p>
        </w:tc>
      </w:tr>
      <w:tr w:rsidR="008800B1" w:rsidRPr="00A97702" w:rsidTr="00D7161B">
        <w:tc>
          <w:tcPr>
            <w:tcW w:w="4261" w:type="dxa"/>
          </w:tcPr>
          <w:p w:rsidR="008800B1" w:rsidRDefault="008800B1" w:rsidP="00D7161B">
            <w:r>
              <w:t>Ευθύγραμμο τμήμα, που μπορεί να περνά ή όχι από το 0 του συστήματος αξόνων</w:t>
            </w:r>
          </w:p>
        </w:tc>
        <w:tc>
          <w:tcPr>
            <w:tcW w:w="5628" w:type="dxa"/>
          </w:tcPr>
          <w:p w:rsidR="008800B1" w:rsidRDefault="008800B1" w:rsidP="00D7161B">
            <w:r>
              <w:t>Τμήμα παραβολής, που γνωρίσαμε στη δευτεροβάθμια εξίσωση</w:t>
            </w:r>
          </w:p>
        </w:tc>
      </w:tr>
      <w:tr w:rsidR="008800B1" w:rsidRPr="00A97702" w:rsidTr="00D7161B">
        <w:tc>
          <w:tcPr>
            <w:tcW w:w="4261" w:type="dxa"/>
          </w:tcPr>
          <w:p w:rsidR="008800B1" w:rsidRDefault="008800B1" w:rsidP="00D7161B">
            <w:r>
              <w:t>Αν είναι παράλληλο στον άξονα του χρόνου, σημαίνει ότι για όσο χρονικό διάστημα είναι παράλληλο, το σώμα δεν κινείται ( έχει πάντα την ίδια θέση)</w:t>
            </w:r>
          </w:p>
        </w:tc>
        <w:tc>
          <w:tcPr>
            <w:tcW w:w="5628" w:type="dxa"/>
          </w:tcPr>
          <w:p w:rsidR="008800B1" w:rsidRDefault="008800B1" w:rsidP="00D7161B">
            <w:r>
              <w:t>Αν είναι το μισό δεξιό της ανοιχτής καμπάνας, τότε η κίνηση είναι επιταχυνόμενη</w:t>
            </w:r>
          </w:p>
        </w:tc>
      </w:tr>
      <w:tr w:rsidR="008800B1" w:rsidRPr="00A97702" w:rsidTr="00D7161B">
        <w:tc>
          <w:tcPr>
            <w:tcW w:w="4261" w:type="dxa"/>
          </w:tcPr>
          <w:p w:rsidR="008800B1" w:rsidRDefault="008800B1" w:rsidP="00D7161B">
            <w:r>
              <w:t>Αν είναι πλάγιο, έχει σταθερή ταχύτητα, που είναι θετική αν το ευθύγραμμο τμήμα «πηγαίνει» προς τα πάνω και αρνητικά αν  «πηγαίνει» προς τα κάτω. Αυτό το «πηγαίνει» ,  επισήμως το λέμε: Αν η κλίση του είναι θετική, ή αρνητική.</w:t>
            </w:r>
          </w:p>
        </w:tc>
        <w:tc>
          <w:tcPr>
            <w:tcW w:w="5628" w:type="dxa"/>
          </w:tcPr>
          <w:p w:rsidR="008800B1" w:rsidRDefault="008800B1" w:rsidP="00D7161B">
            <w:r>
              <w:t>Αν είναι το μισό αριστερό της ανοιχτής καμπάνας, είναι επιβραδυνόμενη</w:t>
            </w:r>
          </w:p>
        </w:tc>
      </w:tr>
      <w:tr w:rsidR="008800B1" w:rsidRPr="00A97702" w:rsidTr="00D7161B">
        <w:tc>
          <w:tcPr>
            <w:tcW w:w="4261" w:type="dxa"/>
          </w:tcPr>
          <w:p w:rsidR="008800B1" w:rsidRPr="0003241F" w:rsidRDefault="008800B1" w:rsidP="00D7161B">
            <w:r>
              <w:t xml:space="preserve">όσο πιο απότομα ανεβαίνει ένα  ευθύγραμμο τμήμα στο διάγραμμα </w:t>
            </w:r>
            <w:r>
              <w:rPr>
                <w:lang w:val="en-US"/>
              </w:rPr>
              <w:t>x</w:t>
            </w:r>
            <w:r w:rsidRPr="0003241F">
              <w:t>-</w:t>
            </w:r>
            <w:r>
              <w:rPr>
                <w:lang w:val="en-US"/>
              </w:rPr>
              <w:t>t</w:t>
            </w:r>
            <w:r>
              <w:t>, τόσο πιο γρήγορα κινείται το σώμα προς τη θετική κατεύθυνση.</w:t>
            </w:r>
          </w:p>
        </w:tc>
        <w:tc>
          <w:tcPr>
            <w:tcW w:w="5628" w:type="dxa"/>
          </w:tcPr>
          <w:p w:rsidR="008800B1" w:rsidRDefault="008800B1" w:rsidP="00D7161B">
            <w:r>
              <w:t>Αν είναι το μισό αριστερό της κλειστής καμπάνας, είναι επιβραδυνόμενη</w:t>
            </w:r>
          </w:p>
        </w:tc>
      </w:tr>
      <w:tr w:rsidR="008800B1" w:rsidRPr="00A97702" w:rsidTr="00D7161B">
        <w:tc>
          <w:tcPr>
            <w:tcW w:w="4261" w:type="dxa"/>
          </w:tcPr>
          <w:p w:rsidR="008800B1" w:rsidRDefault="008800B1" w:rsidP="00D7161B">
            <w:r>
              <w:t>Όσο πιο απότομα κατεβαίνει ένα ευθύγραμμο τμήμα, τόσο πιο γρήγορα κινείται το σώμα προς την αρνητική κατεύθυνση.</w:t>
            </w:r>
          </w:p>
        </w:tc>
        <w:tc>
          <w:tcPr>
            <w:tcW w:w="5628" w:type="dxa"/>
          </w:tcPr>
          <w:p w:rsidR="008800B1" w:rsidRDefault="008800B1" w:rsidP="00D7161B">
            <w:r>
              <w:t>Αν είναι το μισό δεξιό της κλειστής καμπάνας είναι επιταχυνόμενη</w:t>
            </w:r>
          </w:p>
        </w:tc>
      </w:tr>
      <w:tr w:rsidR="008800B1" w:rsidRPr="00A97702" w:rsidTr="00D7161B">
        <w:tc>
          <w:tcPr>
            <w:tcW w:w="4261" w:type="dxa"/>
          </w:tcPr>
          <w:p w:rsidR="008800B1" w:rsidRPr="00E72F6B" w:rsidRDefault="008800B1" w:rsidP="00D7161B">
            <w:r>
              <w:t xml:space="preserve">Για να υπολογίσω την  ταχύτητα, βρίσκω δύο σημεία στο διάγραμμα που γνωρίζω συντεταγμένες και υπολογίζω: </w:t>
            </w:r>
          </w:p>
          <w:p w:rsidR="008800B1" w:rsidRPr="00B60467" w:rsidRDefault="008800B1" w:rsidP="00D7161B">
            <w:r>
              <w:rPr>
                <w:lang w:val="en-US"/>
              </w:rPr>
              <w:t>u</w:t>
            </w:r>
            <w:r w:rsidRPr="00B60467">
              <w:t>=</w:t>
            </w:r>
            <w:r>
              <w:rPr>
                <w:lang w:val="en-US"/>
              </w:rPr>
              <w:t>(</w:t>
            </w:r>
            <w:proofErr w:type="spellStart"/>
            <w:r>
              <w:rPr>
                <w:lang w:val="en-US"/>
              </w:rPr>
              <w:t>x</w:t>
            </w:r>
            <w:r w:rsidRPr="00B60467">
              <w:rPr>
                <w:vertAlign w:val="subscript"/>
                <w:lang w:val="en-US"/>
              </w:rPr>
              <w:t>T</w:t>
            </w:r>
            <w:proofErr w:type="spellEnd"/>
            <w:r w:rsidRPr="00B60467">
              <w:t>-</w:t>
            </w:r>
            <w:proofErr w:type="spellStart"/>
            <w:r>
              <w:rPr>
                <w:lang w:val="en-US"/>
              </w:rPr>
              <w:t>x</w:t>
            </w:r>
            <w:r w:rsidRPr="00B60467">
              <w:rPr>
                <w:vertAlign w:val="subscript"/>
                <w:lang w:val="en-US"/>
              </w:rPr>
              <w:t>A</w:t>
            </w:r>
            <w:proofErr w:type="spellEnd"/>
            <w:r>
              <w:rPr>
                <w:lang w:val="en-US"/>
              </w:rPr>
              <w:t>)</w:t>
            </w:r>
            <w:r w:rsidRPr="00B60467">
              <w:t>/</w:t>
            </w:r>
            <w:proofErr w:type="spellStart"/>
            <w:r>
              <w:rPr>
                <w:lang w:val="en-US"/>
              </w:rPr>
              <w:t>t</w:t>
            </w:r>
            <w:r w:rsidRPr="00B60467">
              <w:rPr>
                <w:vertAlign w:val="subscript"/>
                <w:lang w:val="en-US"/>
              </w:rPr>
              <w:t>T</w:t>
            </w:r>
            <w:proofErr w:type="spellEnd"/>
            <w:r w:rsidRPr="00B60467">
              <w:t>-</w:t>
            </w:r>
            <w:proofErr w:type="spellStart"/>
            <w:r>
              <w:rPr>
                <w:lang w:val="en-US"/>
              </w:rPr>
              <w:t>t</w:t>
            </w:r>
            <w:r w:rsidRPr="00B60467">
              <w:rPr>
                <w:vertAlign w:val="subscript"/>
                <w:lang w:val="en-US"/>
              </w:rPr>
              <w:t>A</w:t>
            </w:r>
            <w:proofErr w:type="spellEnd"/>
          </w:p>
        </w:tc>
        <w:tc>
          <w:tcPr>
            <w:tcW w:w="5628" w:type="dxa"/>
          </w:tcPr>
          <w:p w:rsidR="008800B1" w:rsidRDefault="008800B1" w:rsidP="00D7161B">
            <w:r>
              <w:t>Αν φέρω την εφαπτομένη σε ένα σημείο της παραβολής  που αντιστοιχεί σε μία συγκεκριμένη χρονική στιγμή και υπολογίσω την κλίση της, θα μάθω ποια είναι η ταχύτητα της κίνησης εκείνη τη στιγμή.</w:t>
            </w:r>
          </w:p>
        </w:tc>
      </w:tr>
      <w:tr w:rsidR="008800B1" w:rsidRPr="00A97702" w:rsidTr="00D7161B">
        <w:tc>
          <w:tcPr>
            <w:tcW w:w="4261" w:type="dxa"/>
          </w:tcPr>
          <w:p w:rsidR="008800B1" w:rsidRPr="00B60467" w:rsidRDefault="008800B1" w:rsidP="00D7161B">
            <w:r>
              <w:t xml:space="preserve">Αυτή η τιμή που βρίσκω, ισούται με την εφαπτομένη της γωνίας που σχηματίζει το ευθύγραμμο τμήμα με τον οριζόντιο  θετικό </w:t>
            </w:r>
            <w:proofErr w:type="spellStart"/>
            <w:r>
              <w:t>ημιάξονα</w:t>
            </w:r>
            <w:proofErr w:type="spellEnd"/>
          </w:p>
        </w:tc>
        <w:tc>
          <w:tcPr>
            <w:tcW w:w="5628" w:type="dxa"/>
          </w:tcPr>
          <w:p w:rsidR="008800B1" w:rsidRDefault="008800B1" w:rsidP="00D7161B"/>
        </w:tc>
      </w:tr>
    </w:tbl>
    <w:p w:rsidR="008800B1" w:rsidRDefault="008800B1" w:rsidP="008800B1"/>
    <w:p w:rsidR="008800B1" w:rsidRDefault="008800B1" w:rsidP="008800B1">
      <w:r w:rsidRPr="008C7508">
        <w:rPr>
          <w:noProof/>
          <w:lang w:eastAsia="el-GR"/>
        </w:rPr>
        <w:lastRenderedPageBreak/>
        <w:t xml:space="preserve"> </w:t>
      </w:r>
      <w:r w:rsidRPr="00E86198">
        <w:rPr>
          <w:noProof/>
          <w:lang w:eastAsia="el-GR"/>
        </w:rPr>
        <w:t xml:space="preserve"> </w:t>
      </w:r>
      <w:r w:rsidRPr="00E86198">
        <w:rPr>
          <w:noProof/>
          <w:lang w:eastAsia="el-GR"/>
        </w:rPr>
        <w:drawing>
          <wp:inline distT="0" distB="0" distL="0" distR="0">
            <wp:extent cx="1828800" cy="1847850"/>
            <wp:effectExtent l="19050" t="0" r="19050" b="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E86198">
        <w:rPr>
          <w:noProof/>
          <w:lang w:eastAsia="el-GR"/>
        </w:rPr>
        <w:t xml:space="preserve"> </w:t>
      </w:r>
      <w:r w:rsidRPr="00E86198">
        <w:rPr>
          <w:noProof/>
          <w:lang w:eastAsia="el-GR"/>
        </w:rPr>
        <w:drawing>
          <wp:inline distT="0" distB="0" distL="0" distR="0">
            <wp:extent cx="2124075" cy="1838325"/>
            <wp:effectExtent l="19050" t="0" r="9525" b="0"/>
            <wp:docPr id="9"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86198">
        <w:rPr>
          <w:noProof/>
          <w:lang w:eastAsia="el-GR"/>
        </w:rPr>
        <w:t xml:space="preserve"> </w:t>
      </w:r>
      <w:r w:rsidRPr="003A36D6">
        <w:rPr>
          <w:noProof/>
          <w:lang w:eastAsia="el-GR"/>
        </w:rPr>
        <w:drawing>
          <wp:inline distT="0" distB="0" distL="0" distR="0">
            <wp:extent cx="2409825" cy="1257300"/>
            <wp:effectExtent l="19050" t="0" r="9525" b="0"/>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00B1" w:rsidRDefault="008800B1" w:rsidP="008800B1"/>
    <w:p w:rsidR="008800B1" w:rsidRDefault="008800B1" w:rsidP="008800B1"/>
    <w:p w:rsidR="008800B1" w:rsidRDefault="008800B1" w:rsidP="008800B1"/>
    <w:tbl>
      <w:tblPr>
        <w:tblStyle w:val="a4"/>
        <w:tblW w:w="0" w:type="auto"/>
        <w:tblLook w:val="04A0"/>
      </w:tblPr>
      <w:tblGrid>
        <w:gridCol w:w="3571"/>
        <w:gridCol w:w="4951"/>
      </w:tblGrid>
      <w:tr w:rsidR="008800B1" w:rsidTr="00D7161B">
        <w:tc>
          <w:tcPr>
            <w:tcW w:w="10314" w:type="dxa"/>
            <w:gridSpan w:val="2"/>
          </w:tcPr>
          <w:p w:rsidR="008800B1" w:rsidRPr="00555AD6" w:rsidRDefault="008800B1" w:rsidP="00D7161B">
            <w:pPr>
              <w:jc w:val="center"/>
              <w:rPr>
                <w:sz w:val="28"/>
                <w:szCs w:val="28"/>
              </w:rPr>
            </w:pPr>
            <w:r w:rsidRPr="00555AD6">
              <w:rPr>
                <w:sz w:val="28"/>
                <w:szCs w:val="28"/>
                <w:lang w:val="en-US"/>
              </w:rPr>
              <w:t>u-t</w:t>
            </w:r>
          </w:p>
        </w:tc>
      </w:tr>
      <w:tr w:rsidR="008800B1" w:rsidTr="00D7161B">
        <w:tc>
          <w:tcPr>
            <w:tcW w:w="4261" w:type="dxa"/>
          </w:tcPr>
          <w:p w:rsidR="008800B1" w:rsidRDefault="008800B1" w:rsidP="00D7161B">
            <w:r>
              <w:t>ΟΜΑΛΗ</w:t>
            </w:r>
          </w:p>
        </w:tc>
        <w:tc>
          <w:tcPr>
            <w:tcW w:w="6053" w:type="dxa"/>
          </w:tcPr>
          <w:p w:rsidR="008800B1" w:rsidRDefault="008800B1" w:rsidP="00D7161B">
            <w:r>
              <w:t>ΟΜΑΛΑ ΜΕΤΑΒΑΛΛΟΜΕΝΗ</w:t>
            </w:r>
          </w:p>
        </w:tc>
      </w:tr>
      <w:tr w:rsidR="008800B1" w:rsidTr="00D7161B">
        <w:tc>
          <w:tcPr>
            <w:tcW w:w="4261" w:type="dxa"/>
          </w:tcPr>
          <w:p w:rsidR="008800B1" w:rsidRDefault="008800B1" w:rsidP="00D7161B">
            <w:r>
              <w:t>Ευθύγραμμο τμήμα, παράλληλο στον άξονα του χρόνου</w:t>
            </w:r>
          </w:p>
        </w:tc>
        <w:tc>
          <w:tcPr>
            <w:tcW w:w="6053" w:type="dxa"/>
          </w:tcPr>
          <w:p w:rsidR="008800B1" w:rsidRDefault="008800B1" w:rsidP="00D7161B">
            <w:r>
              <w:t>Ευθύγραμμο τμήμα, πλάγιο, που μπορεί να περνά από το 0 ή όχι, να ανεβαίνει ή να κατεβαίνει</w:t>
            </w:r>
          </w:p>
        </w:tc>
      </w:tr>
      <w:tr w:rsidR="008800B1" w:rsidTr="00D7161B">
        <w:tc>
          <w:tcPr>
            <w:tcW w:w="4261" w:type="dxa"/>
          </w:tcPr>
          <w:p w:rsidR="008800B1" w:rsidRPr="005C136C" w:rsidRDefault="008800B1" w:rsidP="00D7161B">
            <w:r>
              <w:t xml:space="preserve">Από το εμβαδόν του σχήματος που δημιουργείται όταν φέρω κάθετες στον άξονα του χρόνου από την αρχή και το τέλος  ενός χρονικού διαστήματος, το διάγραμμα </w:t>
            </w:r>
            <w:r>
              <w:rPr>
                <w:lang w:val="en-US"/>
              </w:rPr>
              <w:t>u</w:t>
            </w:r>
            <w:r w:rsidRPr="005C136C">
              <w:t>-</w:t>
            </w:r>
            <w:r>
              <w:rPr>
                <w:lang w:val="en-US"/>
              </w:rPr>
              <w:t>t</w:t>
            </w:r>
            <w:r>
              <w:t xml:space="preserve"> και τον άξονα των χρόνων, υπολογίζω τη μετατόπιση στο χρονικό διάστημα αυτό</w:t>
            </w:r>
          </w:p>
        </w:tc>
        <w:tc>
          <w:tcPr>
            <w:tcW w:w="6053" w:type="dxa"/>
          </w:tcPr>
          <w:p w:rsidR="008800B1" w:rsidRDefault="008800B1" w:rsidP="00D7161B">
            <w:pPr>
              <w:rPr>
                <w:b/>
              </w:rPr>
            </w:pPr>
            <w:r>
              <w:t xml:space="preserve">Από το εμβαδόν του σχήματος που δημιουργείται  ΜΕΤΑΞΎ ΤΩΝ: καθέτων που φέρνω  στον άξονα του χρόνου από την αρχή και το τέλος  ενός χρονικού διαστήματος, του διαγράμματος  </w:t>
            </w:r>
            <w:r>
              <w:rPr>
                <w:lang w:val="en-US"/>
              </w:rPr>
              <w:t>u</w:t>
            </w:r>
            <w:r w:rsidRPr="005C136C">
              <w:t>-</w:t>
            </w:r>
            <w:r>
              <w:rPr>
                <w:lang w:val="en-US"/>
              </w:rPr>
              <w:t>t</w:t>
            </w:r>
            <w:r>
              <w:t xml:space="preserve"> και του άξονα των χρόνων, υπολογίζω τη </w:t>
            </w:r>
            <w:r w:rsidRPr="00706192">
              <w:rPr>
                <w:b/>
              </w:rPr>
              <w:t>μετατόπιση στο χρονικό διάστημα αυτό</w:t>
            </w:r>
            <w:r>
              <w:rPr>
                <w:b/>
              </w:rPr>
              <w:t>. Η μετατόπιση όμως μπορεί να είναι θετική ή αρνητική.</w:t>
            </w:r>
          </w:p>
          <w:p w:rsidR="008800B1" w:rsidRDefault="008800B1" w:rsidP="00D7161B">
            <w:r>
              <w:rPr>
                <w:b/>
              </w:rPr>
              <w:t>Το μέτρο της μετατόπισης όμως είναι το διάστημα.</w:t>
            </w:r>
          </w:p>
        </w:tc>
      </w:tr>
      <w:tr w:rsidR="008800B1" w:rsidTr="00D7161B">
        <w:tc>
          <w:tcPr>
            <w:tcW w:w="4261" w:type="dxa"/>
          </w:tcPr>
          <w:p w:rsidR="008800B1" w:rsidRDefault="008800B1" w:rsidP="00D7161B">
            <w:r>
              <w:t xml:space="preserve">Όταν το παραπάνω σχήμα «πέφτει» στον αρνητικό </w:t>
            </w:r>
            <w:proofErr w:type="spellStart"/>
            <w:r>
              <w:t>ημιάξονα</w:t>
            </w:r>
            <w:proofErr w:type="spellEnd"/>
            <w:r>
              <w:t xml:space="preserve"> των ταχυτήτων, τότε η μετατόπιση έχει αρνητική αλγεβρική τιμή</w:t>
            </w:r>
          </w:p>
        </w:tc>
        <w:tc>
          <w:tcPr>
            <w:tcW w:w="6053" w:type="dxa"/>
          </w:tcPr>
          <w:p w:rsidR="008800B1" w:rsidRPr="00706192" w:rsidRDefault="008800B1" w:rsidP="00D7161B">
            <w:r>
              <w:t xml:space="preserve">Όταν το παραπάνω σχήμα «πέφτει» στον αρνητικό </w:t>
            </w:r>
            <w:proofErr w:type="spellStart"/>
            <w:r>
              <w:t>ημιάξονα</w:t>
            </w:r>
            <w:proofErr w:type="spellEnd"/>
            <w:r>
              <w:t xml:space="preserve"> των ταχυτήτων, τότε η μετατόπιση έχει αρνητική αλγεβρική τιμή. </w:t>
            </w:r>
            <w:r w:rsidRPr="00706192">
              <w:rPr>
                <w:b/>
              </w:rPr>
              <w:t xml:space="preserve">Προφανώς η μονάδα που χρησιμοποιώ είναι το </w:t>
            </w:r>
            <w:r w:rsidRPr="00706192">
              <w:rPr>
                <w:b/>
                <w:lang w:val="en-US"/>
              </w:rPr>
              <w:t>m</w:t>
            </w:r>
            <w:r w:rsidRPr="00706192">
              <w:rPr>
                <w:b/>
              </w:rPr>
              <w:t>, γιατί αυτό στο οποίο αντιστοιχεί το εμβαδόν είναι η μετατόπιση</w:t>
            </w:r>
          </w:p>
        </w:tc>
      </w:tr>
      <w:tr w:rsidR="008800B1" w:rsidTr="00D7161B">
        <w:tc>
          <w:tcPr>
            <w:tcW w:w="4261" w:type="dxa"/>
          </w:tcPr>
          <w:p w:rsidR="008800B1" w:rsidRDefault="008800B1" w:rsidP="00D7161B">
            <w:r>
              <w:t>Υπάρχει περίπτωση, να έχω διάγραμμα με παράλληλα τμήματα σε διαφορετικά «ύψη». Αυτό σημαίνει, ότι δεχόμαστε πως η ταχύτητα κάποιες στιγμές αλλάζει ακαριαία και έτσι βλέπω μόνο παράλληλα τμήματα στο διάγραμμα</w:t>
            </w:r>
          </w:p>
        </w:tc>
        <w:tc>
          <w:tcPr>
            <w:tcW w:w="6053" w:type="dxa"/>
          </w:tcPr>
          <w:p w:rsidR="008800B1" w:rsidRDefault="008800B1" w:rsidP="00D7161B">
            <w:r>
              <w:t>Όταν το πλάγιο ευθύγραμμο τμήμα «ανεβαίνει», τότε η επιτάχυνση είναι θετική. Είναι λογικό, γιατί η ταχύτητα αυξάνεται αλγεβρικά</w:t>
            </w:r>
          </w:p>
        </w:tc>
      </w:tr>
      <w:tr w:rsidR="008800B1" w:rsidTr="00D7161B">
        <w:tc>
          <w:tcPr>
            <w:tcW w:w="4261" w:type="dxa"/>
          </w:tcPr>
          <w:p w:rsidR="008800B1" w:rsidRDefault="008800B1" w:rsidP="00D7161B"/>
        </w:tc>
        <w:tc>
          <w:tcPr>
            <w:tcW w:w="6053" w:type="dxa"/>
          </w:tcPr>
          <w:p w:rsidR="008800B1" w:rsidRDefault="008800B1" w:rsidP="00D7161B">
            <w:r>
              <w:t xml:space="preserve">Όταν το πλάγιο ευθύγραμμο τμήμα «κατεβαίνει», η επιτάχυνση είναι αρνητική. Είναι λογικό, γιατί η </w:t>
            </w:r>
            <w:r>
              <w:lastRenderedPageBreak/>
              <w:t>ταχύτητα μειώνεται αλγεβρικά.</w:t>
            </w:r>
          </w:p>
        </w:tc>
      </w:tr>
      <w:tr w:rsidR="008800B1" w:rsidTr="00D7161B">
        <w:tc>
          <w:tcPr>
            <w:tcW w:w="4261" w:type="dxa"/>
          </w:tcPr>
          <w:p w:rsidR="008800B1" w:rsidRDefault="008800B1" w:rsidP="00D7161B"/>
        </w:tc>
        <w:tc>
          <w:tcPr>
            <w:tcW w:w="6053" w:type="dxa"/>
          </w:tcPr>
          <w:p w:rsidR="008800B1" w:rsidRDefault="008800B1" w:rsidP="00D7161B">
            <w:r>
              <w:t>Κάθε φορά που βλέπω να δημιουργείται γωνία στο διάγραμμα αυτό, καταλαβαίνω ότι αλλάζει η επιτάχυνση</w:t>
            </w:r>
          </w:p>
        </w:tc>
      </w:tr>
      <w:tr w:rsidR="008800B1" w:rsidTr="00D7161B">
        <w:tc>
          <w:tcPr>
            <w:tcW w:w="4261" w:type="dxa"/>
          </w:tcPr>
          <w:p w:rsidR="008800B1" w:rsidRPr="00CA66CB" w:rsidRDefault="008800B1" w:rsidP="00D7161B">
            <w:r>
              <w:t xml:space="preserve">Αν σε ένα διάγραμμα </w:t>
            </w:r>
            <w:r>
              <w:rPr>
                <w:lang w:val="en-US"/>
              </w:rPr>
              <w:t>u</w:t>
            </w:r>
            <w:r w:rsidRPr="00CA66CB">
              <w:t>-</w:t>
            </w:r>
            <w:r>
              <w:rPr>
                <w:lang w:val="en-US"/>
              </w:rPr>
              <w:t>t</w:t>
            </w:r>
            <w:r>
              <w:t xml:space="preserve"> υπάρχουν ευθύγραμμα τμήματα παράλληλα στον άξονα του χρόνου και πλάγια, καταλαβαίνω ότι έχουμε μία κίνηση που κατά χρονικά διαστήματα είναι ομαλή και κατά χρονικά διαστήματα είναι ομαλά μεταβαλλόμενη.</w:t>
            </w:r>
          </w:p>
        </w:tc>
        <w:tc>
          <w:tcPr>
            <w:tcW w:w="6053" w:type="dxa"/>
          </w:tcPr>
          <w:p w:rsidR="008800B1" w:rsidRDefault="008800B1" w:rsidP="00D7161B">
            <w:r>
              <w:t xml:space="preserve">Για να την υπολογίσω από το διάγραμμα, διαλέγω  δύο σημεία που ανήκουν στο ίδιο ευθύγραμμο τμήμα , για τα οποία γνωρίζω συντεταγμένες και υπολογίζω: </w:t>
            </w:r>
          </w:p>
          <w:p w:rsidR="008800B1" w:rsidRDefault="008800B1" w:rsidP="00D7161B">
            <w:r>
              <w:t>α=(</w:t>
            </w:r>
            <w:proofErr w:type="spellStart"/>
            <w:r>
              <w:rPr>
                <w:lang w:val="en-US"/>
              </w:rPr>
              <w:t>u</w:t>
            </w:r>
            <w:r w:rsidRPr="001E42D4">
              <w:rPr>
                <w:vertAlign w:val="subscript"/>
                <w:lang w:val="en-US"/>
              </w:rPr>
              <w:t>T</w:t>
            </w:r>
            <w:proofErr w:type="spellEnd"/>
            <w:r w:rsidRPr="00AB36A4">
              <w:t>-</w:t>
            </w:r>
            <w:proofErr w:type="spellStart"/>
            <w:r>
              <w:rPr>
                <w:lang w:val="en-US"/>
              </w:rPr>
              <w:t>u</w:t>
            </w:r>
            <w:r w:rsidRPr="001E42D4">
              <w:rPr>
                <w:vertAlign w:val="subscript"/>
                <w:lang w:val="en-US"/>
              </w:rPr>
              <w:t>A</w:t>
            </w:r>
            <w:proofErr w:type="spellEnd"/>
            <w:r w:rsidRPr="00AB36A4">
              <w:t>)</w:t>
            </w:r>
            <w:r>
              <w:t>/</w:t>
            </w:r>
            <w:r w:rsidRPr="00AB36A4">
              <w:t>(</w:t>
            </w:r>
            <w:proofErr w:type="spellStart"/>
            <w:r>
              <w:rPr>
                <w:lang w:val="en-US"/>
              </w:rPr>
              <w:t>t</w:t>
            </w:r>
            <w:r w:rsidRPr="001E42D4">
              <w:rPr>
                <w:vertAlign w:val="subscript"/>
                <w:lang w:val="en-US"/>
              </w:rPr>
              <w:t>T</w:t>
            </w:r>
            <w:proofErr w:type="spellEnd"/>
            <w:r w:rsidRPr="00AB36A4">
              <w:t>-</w:t>
            </w:r>
            <w:r>
              <w:rPr>
                <w:lang w:val="en-US"/>
              </w:rPr>
              <w:t>t</w:t>
            </w:r>
            <w:r w:rsidRPr="001E42D4">
              <w:rPr>
                <w:vertAlign w:val="subscript"/>
              </w:rPr>
              <w:t>Α</w:t>
            </w:r>
            <w:r w:rsidRPr="00AB36A4">
              <w:t>)</w:t>
            </w:r>
            <w:r>
              <w:t xml:space="preserve">. </w:t>
            </w:r>
          </w:p>
          <w:p w:rsidR="008800B1" w:rsidRPr="001E42D4" w:rsidRDefault="008800B1" w:rsidP="00D7161B">
            <w:r>
              <w:t>Αυτή η επιτάχυνση ισχύει για όλο το χρονικό διάστημα στο οποίο αντιστοιχεί το ευθύγραμμο τμήμα.</w:t>
            </w:r>
          </w:p>
        </w:tc>
      </w:tr>
      <w:tr w:rsidR="008800B1" w:rsidTr="00D7161B">
        <w:tc>
          <w:tcPr>
            <w:tcW w:w="4261" w:type="dxa"/>
          </w:tcPr>
          <w:p w:rsidR="008800B1" w:rsidRDefault="008800B1" w:rsidP="00D7161B"/>
        </w:tc>
        <w:tc>
          <w:tcPr>
            <w:tcW w:w="6053" w:type="dxa"/>
          </w:tcPr>
          <w:p w:rsidR="008800B1" w:rsidRPr="008B1C2F" w:rsidRDefault="008800B1" w:rsidP="00D7161B">
            <w:pPr>
              <w:rPr>
                <w:b/>
              </w:rPr>
            </w:pPr>
            <w:r w:rsidRPr="008B1C2F">
              <w:rPr>
                <w:b/>
              </w:rPr>
              <w:t xml:space="preserve">Όταν σε ένα χρονικό διάστημα το α και η </w:t>
            </w:r>
            <w:r w:rsidRPr="008B1C2F">
              <w:rPr>
                <w:b/>
                <w:lang w:val="en-US"/>
              </w:rPr>
              <w:t>u</w:t>
            </w:r>
            <w:r w:rsidRPr="008B1C2F">
              <w:rPr>
                <w:b/>
              </w:rPr>
              <w:t xml:space="preserve"> έχουν ίδιο πρόσημο, τότε η κίνηση είναι επιταχυνόμενη. Δηλαδή, το μέτρο της ταχύτητας αυξάνεται με το χρόνο</w:t>
            </w:r>
          </w:p>
        </w:tc>
      </w:tr>
      <w:tr w:rsidR="008800B1" w:rsidTr="00D7161B">
        <w:tc>
          <w:tcPr>
            <w:tcW w:w="4261" w:type="dxa"/>
          </w:tcPr>
          <w:p w:rsidR="008800B1" w:rsidRDefault="008800B1" w:rsidP="00D7161B"/>
        </w:tc>
        <w:tc>
          <w:tcPr>
            <w:tcW w:w="6053" w:type="dxa"/>
          </w:tcPr>
          <w:p w:rsidR="008800B1" w:rsidRPr="008B1C2F" w:rsidRDefault="008800B1" w:rsidP="00D7161B">
            <w:pPr>
              <w:rPr>
                <w:b/>
              </w:rPr>
            </w:pPr>
            <w:r w:rsidRPr="008B1C2F">
              <w:rPr>
                <w:b/>
              </w:rPr>
              <w:t xml:space="preserve">Όταν σε ένα χρονικό διάστημα το α και η </w:t>
            </w:r>
            <w:r w:rsidRPr="008B1C2F">
              <w:rPr>
                <w:b/>
                <w:lang w:val="en-US"/>
              </w:rPr>
              <w:t>u</w:t>
            </w:r>
            <w:r w:rsidRPr="008B1C2F">
              <w:rPr>
                <w:b/>
              </w:rPr>
              <w:t xml:space="preserve"> έχουν αντίθετο πρόσημο, τότε η κίνηση είναι επιβραδυνόμενη. Δηλαδή, το μέτρο της ταχύτητας  μειώνεται  με το χρόνο</w:t>
            </w:r>
          </w:p>
        </w:tc>
      </w:tr>
    </w:tbl>
    <w:p w:rsidR="008800B1" w:rsidRDefault="008800B1" w:rsidP="008800B1"/>
    <w:tbl>
      <w:tblPr>
        <w:tblStyle w:val="a4"/>
        <w:tblW w:w="0" w:type="auto"/>
        <w:tblLook w:val="04A0"/>
      </w:tblPr>
      <w:tblGrid>
        <w:gridCol w:w="3515"/>
        <w:gridCol w:w="5007"/>
      </w:tblGrid>
      <w:tr w:rsidR="008800B1" w:rsidTr="00D7161B">
        <w:tc>
          <w:tcPr>
            <w:tcW w:w="10314" w:type="dxa"/>
            <w:gridSpan w:val="2"/>
          </w:tcPr>
          <w:p w:rsidR="008800B1" w:rsidRPr="00555AD6" w:rsidRDefault="008800B1" w:rsidP="00D7161B">
            <w:pPr>
              <w:jc w:val="center"/>
              <w:rPr>
                <w:sz w:val="28"/>
                <w:szCs w:val="28"/>
              </w:rPr>
            </w:pPr>
            <w:r w:rsidRPr="00555AD6">
              <w:rPr>
                <w:sz w:val="28"/>
                <w:szCs w:val="28"/>
              </w:rPr>
              <w:t>α-</w:t>
            </w:r>
            <w:r w:rsidRPr="00555AD6">
              <w:rPr>
                <w:sz w:val="28"/>
                <w:szCs w:val="28"/>
                <w:lang w:val="en-US"/>
              </w:rPr>
              <w:t>t</w:t>
            </w:r>
          </w:p>
        </w:tc>
      </w:tr>
      <w:tr w:rsidR="008800B1" w:rsidTr="00D7161B">
        <w:tc>
          <w:tcPr>
            <w:tcW w:w="4261" w:type="dxa"/>
          </w:tcPr>
          <w:p w:rsidR="008800B1" w:rsidRDefault="008800B1" w:rsidP="00D7161B">
            <w:r>
              <w:t>ΟΜΑΛΗ</w:t>
            </w:r>
          </w:p>
        </w:tc>
        <w:tc>
          <w:tcPr>
            <w:tcW w:w="6053" w:type="dxa"/>
          </w:tcPr>
          <w:p w:rsidR="008800B1" w:rsidRDefault="008800B1" w:rsidP="00D7161B">
            <w:r>
              <w:t>ΟΜΑΛΑ ΕΠΙΤΑΧΥΝΟΜΕΝΗ</w:t>
            </w:r>
          </w:p>
        </w:tc>
      </w:tr>
      <w:tr w:rsidR="008800B1" w:rsidTr="00D7161B">
        <w:tc>
          <w:tcPr>
            <w:tcW w:w="4261" w:type="dxa"/>
          </w:tcPr>
          <w:p w:rsidR="008800B1" w:rsidRDefault="008800B1" w:rsidP="00D7161B">
            <w:r>
              <w:t>Το διάγραμμα βρίσκεται στον άξονα του χρόνου γιατί η επιτάχυνση είναι 0 σε κάθε χρονική στιγμή</w:t>
            </w:r>
          </w:p>
        </w:tc>
        <w:tc>
          <w:tcPr>
            <w:tcW w:w="6053" w:type="dxa"/>
          </w:tcPr>
          <w:p w:rsidR="008800B1" w:rsidRDefault="008800B1" w:rsidP="00D7161B">
            <w:r>
              <w:t xml:space="preserve">Είναι ευθύγραμμο τμήμα παράλληλο στον άξονα του χρόνου. Αν η επιτάχυνση είναι θετική, βρίσκεται στο θετικό </w:t>
            </w:r>
            <w:proofErr w:type="spellStart"/>
            <w:r>
              <w:t>ημιάξονα</w:t>
            </w:r>
            <w:proofErr w:type="spellEnd"/>
            <w:r>
              <w:t xml:space="preserve"> της επιτάχυνσης , ενώ αν είναι αρνητική, βρίσκεται στον αρνητικό </w:t>
            </w:r>
            <w:proofErr w:type="spellStart"/>
            <w:r>
              <w:t>ημιάξονα</w:t>
            </w:r>
            <w:proofErr w:type="spellEnd"/>
            <w:r>
              <w:t xml:space="preserve"> της επιτάχυνσης.</w:t>
            </w:r>
          </w:p>
        </w:tc>
      </w:tr>
      <w:tr w:rsidR="008800B1" w:rsidTr="00D7161B">
        <w:tc>
          <w:tcPr>
            <w:tcW w:w="4261" w:type="dxa"/>
          </w:tcPr>
          <w:p w:rsidR="008800B1" w:rsidRDefault="008800B1" w:rsidP="00D7161B"/>
        </w:tc>
        <w:tc>
          <w:tcPr>
            <w:tcW w:w="6053" w:type="dxa"/>
          </w:tcPr>
          <w:p w:rsidR="008800B1" w:rsidRDefault="008800B1" w:rsidP="00D7161B">
            <w:r>
              <w:t>Από αυτό το διάγραμμα, μπορώ να υπολογίσω τη μεταβολή της ταχύτητας σε ένα χρονικό διάστημα, πάλι από ένα εμβαδό, αυτό που σχηματίζεται από τις δύο κάθετες που φέρνω από την αρχή και το τέλος του χρονικού διαστήματος, το διάγραμμα και τον άξονα του χρόνου.</w:t>
            </w:r>
          </w:p>
        </w:tc>
      </w:tr>
    </w:tbl>
    <w:p w:rsidR="008800B1" w:rsidRDefault="008800B1" w:rsidP="008800B1">
      <w:r w:rsidRPr="003A36D6">
        <w:rPr>
          <w:noProof/>
          <w:lang w:eastAsia="el-GR"/>
        </w:rPr>
        <w:drawing>
          <wp:inline distT="0" distB="0" distL="0" distR="0">
            <wp:extent cx="4572000" cy="2743200"/>
            <wp:effectExtent l="19050" t="0" r="19050" b="0"/>
            <wp:docPr id="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00B1" w:rsidRDefault="008800B1" w:rsidP="008800B1">
      <w:r>
        <w:lastRenderedPageBreak/>
        <w:t xml:space="preserve">Πώς μπορούμε να καταλάβουμε από διάγραμμα </w:t>
      </w:r>
      <w:r>
        <w:rPr>
          <w:lang w:val="en-US"/>
        </w:rPr>
        <w:t>u</w:t>
      </w:r>
      <w:r w:rsidRPr="00C34B72">
        <w:t>-</w:t>
      </w:r>
      <w:r>
        <w:rPr>
          <w:lang w:val="en-US"/>
        </w:rPr>
        <w:t>t</w:t>
      </w:r>
      <w:r>
        <w:t xml:space="preserve"> μίας ευθύγραμμης κίνησης, ότι αυτή είναι ομαλά μεταβαλλόμενη συνεχώς, ή κατά διαστήματα.</w:t>
      </w:r>
    </w:p>
    <w:p w:rsidR="008800B1" w:rsidRDefault="008800B1" w:rsidP="008800B1">
      <w:r>
        <w:t>Αν  το διάγραμμα αποτελείται από ένα πλάγιο ευθύγραμμο τμήμα, τότε η κίνηση είναι ομαλά μεταβαλλόμενη. Αν το ευθύγραμμο τμήμα ανεβαίνει, η επιτάχυνση της ομαλά μεταβαλλόμενης κίνησης είναι θετική. Αν το ευθύγραμμο τμήμα κατεβαίνει, τότε η αλγεβρική τιμή της επιτάχυνσης  είναι αρνητική.</w:t>
      </w:r>
    </w:p>
    <w:p w:rsidR="008800B1" w:rsidRDefault="008800B1" w:rsidP="008800B1">
      <w:r>
        <w:t xml:space="preserve">Αν το διάγραμμα  αποτελείται από  πλάγια ευθύγραμμα τμήματα που σχηματίζουν διάφορες γωνίες μεταξύ τους, τότε η κίνηση είναι ομαλά μεταβαλλόμενη σε κάθε χρονικό διάστημα που το διάγραμμα </w:t>
      </w:r>
      <w:r>
        <w:rPr>
          <w:lang w:val="en-US"/>
        </w:rPr>
        <w:t>u</w:t>
      </w:r>
      <w:r w:rsidRPr="00C34B72">
        <w:t>-</w:t>
      </w:r>
      <w:r>
        <w:rPr>
          <w:lang w:val="en-US"/>
        </w:rPr>
        <w:t>t</w:t>
      </w:r>
      <w:r>
        <w:t xml:space="preserve"> είναι ευθύγραμμο τμήμα, αλλά η επιτάχυνση αλλάζει αλγεβρική τιμή κάθε φορά που σχηματίζεται μία γωνία στο διάγραμμα( κάθε φορά που «σπάζει» η γραμμή)</w:t>
      </w:r>
    </w:p>
    <w:p w:rsidR="00E5287F" w:rsidRPr="008800B1" w:rsidRDefault="00E5287F" w:rsidP="008800B1"/>
    <w:sectPr w:rsidR="00E5287F" w:rsidRPr="008800B1" w:rsidSect="00E528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0B1"/>
    <w:rsid w:val="008800B1"/>
    <w:rsid w:val="00E52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0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0B1"/>
    <w:rPr>
      <w:rFonts w:ascii="Tahoma" w:hAnsi="Tahoma" w:cs="Tahoma"/>
      <w:sz w:val="16"/>
      <w:szCs w:val="16"/>
    </w:rPr>
  </w:style>
  <w:style w:type="table" w:styleId="a4">
    <w:name w:val="Table Grid"/>
    <w:basedOn w:val="a1"/>
    <w:uiPriority w:val="59"/>
    <w:rsid w:val="00880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smoothMarker"/>
        <c:ser>
          <c:idx val="0"/>
          <c:order val="0"/>
          <c:marker>
            <c:symbol val="none"/>
          </c:marker>
          <c:xVal>
            <c:numRef>
              <c:f>Φύλλο1!$A$1:$A$23</c:f>
              <c:numCache>
                <c:formatCode>General</c:formatCode>
                <c:ptCount val="2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numCache>
            </c:numRef>
          </c:xVal>
          <c:yVal>
            <c:numRef>
              <c:f>Φύλλο1!$B$1:$B$23</c:f>
              <c:numCache>
                <c:formatCode>General</c:formatCode>
                <c:ptCount val="23"/>
                <c:pt idx="0">
                  <c:v>50</c:v>
                </c:pt>
                <c:pt idx="1">
                  <c:v>51.25</c:v>
                </c:pt>
                <c:pt idx="2">
                  <c:v>53</c:v>
                </c:pt>
                <c:pt idx="3">
                  <c:v>55.25</c:v>
                </c:pt>
                <c:pt idx="4">
                  <c:v>58</c:v>
                </c:pt>
                <c:pt idx="5">
                  <c:v>61.25</c:v>
                </c:pt>
                <c:pt idx="6">
                  <c:v>65</c:v>
                </c:pt>
                <c:pt idx="7">
                  <c:v>69.25</c:v>
                </c:pt>
                <c:pt idx="8">
                  <c:v>74</c:v>
                </c:pt>
                <c:pt idx="9">
                  <c:v>79.25</c:v>
                </c:pt>
                <c:pt idx="10">
                  <c:v>85</c:v>
                </c:pt>
                <c:pt idx="11">
                  <c:v>91.25</c:v>
                </c:pt>
                <c:pt idx="12">
                  <c:v>98</c:v>
                </c:pt>
                <c:pt idx="13">
                  <c:v>105.25</c:v>
                </c:pt>
                <c:pt idx="14">
                  <c:v>113</c:v>
                </c:pt>
                <c:pt idx="15">
                  <c:v>121.25</c:v>
                </c:pt>
                <c:pt idx="16">
                  <c:v>130</c:v>
                </c:pt>
                <c:pt idx="17">
                  <c:v>139.25</c:v>
                </c:pt>
                <c:pt idx="18">
                  <c:v>149</c:v>
                </c:pt>
                <c:pt idx="19">
                  <c:v>159.25</c:v>
                </c:pt>
                <c:pt idx="20">
                  <c:v>170</c:v>
                </c:pt>
                <c:pt idx="21">
                  <c:v>181.25</c:v>
                </c:pt>
                <c:pt idx="22">
                  <c:v>193</c:v>
                </c:pt>
              </c:numCache>
            </c:numRef>
          </c:yVal>
          <c:smooth val="1"/>
        </c:ser>
        <c:axId val="91279744"/>
        <c:axId val="96600064"/>
      </c:scatterChart>
      <c:valAx>
        <c:axId val="91279744"/>
        <c:scaling>
          <c:orientation val="minMax"/>
        </c:scaling>
        <c:axPos val="b"/>
        <c:numFmt formatCode="General" sourceLinked="1"/>
        <c:tickLblPos val="nextTo"/>
        <c:crossAx val="96600064"/>
        <c:crosses val="autoZero"/>
        <c:crossBetween val="midCat"/>
      </c:valAx>
      <c:valAx>
        <c:axId val="96600064"/>
        <c:scaling>
          <c:orientation val="minMax"/>
        </c:scaling>
        <c:axPos val="l"/>
        <c:majorGridlines/>
        <c:numFmt formatCode="General" sourceLinked="1"/>
        <c:tickLblPos val="nextTo"/>
        <c:crossAx val="9127974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smoothMarker"/>
        <c:ser>
          <c:idx val="0"/>
          <c:order val="0"/>
          <c:marker>
            <c:symbol val="none"/>
          </c:marker>
          <c:xVal>
            <c:numRef>
              <c:f>Φύλλο2!$A$1:$A$23</c:f>
              <c:numCache>
                <c:formatCode>General</c:formatCode>
                <c:ptCount val="2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numCache>
            </c:numRef>
          </c:xVal>
          <c:yVal>
            <c:numRef>
              <c:f>Φύλλο2!$B$1:$B$23</c:f>
              <c:numCache>
                <c:formatCode>General</c:formatCode>
                <c:ptCount val="23"/>
                <c:pt idx="0">
                  <c:v>50</c:v>
                </c:pt>
                <c:pt idx="1">
                  <c:v>45.25</c:v>
                </c:pt>
                <c:pt idx="2">
                  <c:v>41</c:v>
                </c:pt>
                <c:pt idx="3">
                  <c:v>37.25</c:v>
                </c:pt>
                <c:pt idx="4">
                  <c:v>34</c:v>
                </c:pt>
                <c:pt idx="5">
                  <c:v>31.25</c:v>
                </c:pt>
                <c:pt idx="6">
                  <c:v>29</c:v>
                </c:pt>
                <c:pt idx="7">
                  <c:v>27.25</c:v>
                </c:pt>
                <c:pt idx="8">
                  <c:v>26</c:v>
                </c:pt>
                <c:pt idx="9">
                  <c:v>25.25</c:v>
                </c:pt>
                <c:pt idx="10">
                  <c:v>25</c:v>
                </c:pt>
                <c:pt idx="11">
                  <c:v>25.25</c:v>
                </c:pt>
                <c:pt idx="12">
                  <c:v>26</c:v>
                </c:pt>
                <c:pt idx="13">
                  <c:v>27.25</c:v>
                </c:pt>
                <c:pt idx="14">
                  <c:v>29</c:v>
                </c:pt>
                <c:pt idx="15">
                  <c:v>31.25</c:v>
                </c:pt>
                <c:pt idx="16">
                  <c:v>34</c:v>
                </c:pt>
                <c:pt idx="17">
                  <c:v>37.25</c:v>
                </c:pt>
                <c:pt idx="18">
                  <c:v>41</c:v>
                </c:pt>
                <c:pt idx="19">
                  <c:v>45.25</c:v>
                </c:pt>
                <c:pt idx="20">
                  <c:v>50</c:v>
                </c:pt>
              </c:numCache>
            </c:numRef>
          </c:yVal>
          <c:smooth val="1"/>
        </c:ser>
        <c:axId val="96793728"/>
        <c:axId val="96795648"/>
      </c:scatterChart>
      <c:valAx>
        <c:axId val="96793728"/>
        <c:scaling>
          <c:orientation val="minMax"/>
        </c:scaling>
        <c:axPos val="b"/>
        <c:numFmt formatCode="General" sourceLinked="1"/>
        <c:tickLblPos val="nextTo"/>
        <c:crossAx val="96795648"/>
        <c:crosses val="autoZero"/>
        <c:crossBetween val="midCat"/>
      </c:valAx>
      <c:valAx>
        <c:axId val="96795648"/>
        <c:scaling>
          <c:orientation val="minMax"/>
        </c:scaling>
        <c:axPos val="l"/>
        <c:majorGridlines/>
        <c:numFmt formatCode="General" sourceLinked="1"/>
        <c:tickLblPos val="nextTo"/>
        <c:crossAx val="9679372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smoothMarker"/>
        <c:ser>
          <c:idx val="0"/>
          <c:order val="0"/>
          <c:marker>
            <c:symbol val="none"/>
          </c:marker>
          <c:xVal>
            <c:numRef>
              <c:f>Φύλλο3!$A$1:$A$23</c:f>
              <c:numCache>
                <c:formatCode>General</c:formatCode>
                <c:ptCount val="2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numCache>
            </c:numRef>
          </c:xVal>
          <c:yVal>
            <c:numRef>
              <c:f>Φύλλο3!$B$1:$B$23</c:f>
              <c:numCache>
                <c:formatCode>General</c:formatCode>
                <c:ptCount val="23"/>
                <c:pt idx="0">
                  <c:v>50</c:v>
                </c:pt>
                <c:pt idx="1">
                  <c:v>57.5</c:v>
                </c:pt>
                <c:pt idx="2">
                  <c:v>64</c:v>
                </c:pt>
                <c:pt idx="3">
                  <c:v>69.5</c:v>
                </c:pt>
                <c:pt idx="4">
                  <c:v>74</c:v>
                </c:pt>
                <c:pt idx="5">
                  <c:v>77.5</c:v>
                </c:pt>
                <c:pt idx="6">
                  <c:v>80</c:v>
                </c:pt>
                <c:pt idx="7">
                  <c:v>81.5</c:v>
                </c:pt>
                <c:pt idx="8">
                  <c:v>82</c:v>
                </c:pt>
                <c:pt idx="9">
                  <c:v>81.5</c:v>
                </c:pt>
                <c:pt idx="10">
                  <c:v>80</c:v>
                </c:pt>
                <c:pt idx="11">
                  <c:v>77.5</c:v>
                </c:pt>
                <c:pt idx="12">
                  <c:v>74</c:v>
                </c:pt>
                <c:pt idx="13">
                  <c:v>69.5</c:v>
                </c:pt>
                <c:pt idx="14">
                  <c:v>64</c:v>
                </c:pt>
                <c:pt idx="15">
                  <c:v>57.5</c:v>
                </c:pt>
                <c:pt idx="16">
                  <c:v>50</c:v>
                </c:pt>
                <c:pt idx="17">
                  <c:v>41.5</c:v>
                </c:pt>
                <c:pt idx="18">
                  <c:v>32</c:v>
                </c:pt>
                <c:pt idx="19">
                  <c:v>21.5</c:v>
                </c:pt>
                <c:pt idx="20">
                  <c:v>10</c:v>
                </c:pt>
                <c:pt idx="21">
                  <c:v>-2.5</c:v>
                </c:pt>
                <c:pt idx="22">
                  <c:v>-16</c:v>
                </c:pt>
              </c:numCache>
            </c:numRef>
          </c:yVal>
          <c:smooth val="1"/>
        </c:ser>
        <c:axId val="97639424"/>
        <c:axId val="149040512"/>
      </c:scatterChart>
      <c:valAx>
        <c:axId val="97639424"/>
        <c:scaling>
          <c:orientation val="minMax"/>
        </c:scaling>
        <c:axPos val="b"/>
        <c:numFmt formatCode="General" sourceLinked="1"/>
        <c:tickLblPos val="nextTo"/>
        <c:crossAx val="149040512"/>
        <c:crosses val="autoZero"/>
        <c:crossBetween val="midCat"/>
      </c:valAx>
      <c:valAx>
        <c:axId val="149040512"/>
        <c:scaling>
          <c:orientation val="minMax"/>
        </c:scaling>
        <c:axPos val="l"/>
        <c:majorGridlines/>
        <c:numFmt formatCode="General" sourceLinked="1"/>
        <c:tickLblPos val="nextTo"/>
        <c:crossAx val="97639424"/>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plotArea>
      <c:layout/>
      <c:scatterChart>
        <c:scatterStyle val="smoothMarker"/>
        <c:ser>
          <c:idx val="0"/>
          <c:order val="0"/>
          <c:marker>
            <c:symbol val="none"/>
          </c:marker>
          <c:xVal>
            <c:numRef>
              <c:f>Φύλλο1!$A$1:$A$72</c:f>
              <c:numCache>
                <c:formatCode>General</c:formatCode>
                <c:ptCount val="72"/>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numCache>
            </c:numRef>
          </c:xVal>
          <c:yVal>
            <c:numRef>
              <c:f>Φύλλο1!$B$1:$B$72</c:f>
              <c:numCache>
                <c:formatCode>General</c:formatCode>
                <c:ptCount val="72"/>
                <c:pt idx="0">
                  <c:v>50</c:v>
                </c:pt>
                <c:pt idx="1">
                  <c:v>51.25</c:v>
                </c:pt>
                <c:pt idx="2">
                  <c:v>53</c:v>
                </c:pt>
                <c:pt idx="3">
                  <c:v>55.25</c:v>
                </c:pt>
                <c:pt idx="4">
                  <c:v>58</c:v>
                </c:pt>
                <c:pt idx="5">
                  <c:v>61.25</c:v>
                </c:pt>
                <c:pt idx="6">
                  <c:v>65</c:v>
                </c:pt>
                <c:pt idx="7">
                  <c:v>69.25</c:v>
                </c:pt>
                <c:pt idx="8">
                  <c:v>74</c:v>
                </c:pt>
                <c:pt idx="9">
                  <c:v>79.25</c:v>
                </c:pt>
                <c:pt idx="10">
                  <c:v>85</c:v>
                </c:pt>
                <c:pt idx="11">
                  <c:v>91.25</c:v>
                </c:pt>
                <c:pt idx="12">
                  <c:v>98</c:v>
                </c:pt>
                <c:pt idx="13">
                  <c:v>105.25</c:v>
                </c:pt>
                <c:pt idx="14">
                  <c:v>113</c:v>
                </c:pt>
                <c:pt idx="15">
                  <c:v>121.25</c:v>
                </c:pt>
                <c:pt idx="16">
                  <c:v>130</c:v>
                </c:pt>
                <c:pt idx="17">
                  <c:v>139.25</c:v>
                </c:pt>
                <c:pt idx="18">
                  <c:v>149</c:v>
                </c:pt>
                <c:pt idx="19">
                  <c:v>159.25</c:v>
                </c:pt>
                <c:pt idx="20">
                  <c:v>170</c:v>
                </c:pt>
                <c:pt idx="21">
                  <c:v>181.25</c:v>
                </c:pt>
                <c:pt idx="22">
                  <c:v>193</c:v>
                </c:pt>
                <c:pt idx="23">
                  <c:v>203.75</c:v>
                </c:pt>
                <c:pt idx="24">
                  <c:v>214</c:v>
                </c:pt>
                <c:pt idx="25">
                  <c:v>223.75</c:v>
                </c:pt>
                <c:pt idx="26">
                  <c:v>233</c:v>
                </c:pt>
                <c:pt idx="27">
                  <c:v>241.75</c:v>
                </c:pt>
                <c:pt idx="28">
                  <c:v>250</c:v>
                </c:pt>
                <c:pt idx="29">
                  <c:v>257.75</c:v>
                </c:pt>
                <c:pt idx="30">
                  <c:v>265</c:v>
                </c:pt>
                <c:pt idx="31">
                  <c:v>271.75</c:v>
                </c:pt>
                <c:pt idx="32">
                  <c:v>278</c:v>
                </c:pt>
                <c:pt idx="33">
                  <c:v>283.75</c:v>
                </c:pt>
                <c:pt idx="34">
                  <c:v>289</c:v>
                </c:pt>
                <c:pt idx="35">
                  <c:v>293.75</c:v>
                </c:pt>
                <c:pt idx="36">
                  <c:v>298</c:v>
                </c:pt>
                <c:pt idx="37">
                  <c:v>301.75</c:v>
                </c:pt>
                <c:pt idx="38">
                  <c:v>305</c:v>
                </c:pt>
                <c:pt idx="39">
                  <c:v>307.75</c:v>
                </c:pt>
                <c:pt idx="40">
                  <c:v>310</c:v>
                </c:pt>
                <c:pt idx="41">
                  <c:v>311.75</c:v>
                </c:pt>
                <c:pt idx="42">
                  <c:v>313</c:v>
                </c:pt>
                <c:pt idx="43">
                  <c:v>313.75</c:v>
                </c:pt>
                <c:pt idx="44">
                  <c:v>314</c:v>
                </c:pt>
                <c:pt idx="45">
                  <c:v>313.75</c:v>
                </c:pt>
                <c:pt idx="46">
                  <c:v>313</c:v>
                </c:pt>
                <c:pt idx="47">
                  <c:v>311.75</c:v>
                </c:pt>
                <c:pt idx="48">
                  <c:v>310</c:v>
                </c:pt>
                <c:pt idx="49">
                  <c:v>307.75</c:v>
                </c:pt>
                <c:pt idx="50">
                  <c:v>305</c:v>
                </c:pt>
                <c:pt idx="51">
                  <c:v>301.75</c:v>
                </c:pt>
                <c:pt idx="52">
                  <c:v>298</c:v>
                </c:pt>
                <c:pt idx="53">
                  <c:v>293.75</c:v>
                </c:pt>
                <c:pt idx="54">
                  <c:v>289</c:v>
                </c:pt>
                <c:pt idx="55">
                  <c:v>283.75</c:v>
                </c:pt>
                <c:pt idx="56">
                  <c:v>278</c:v>
                </c:pt>
                <c:pt idx="57">
                  <c:v>271.75</c:v>
                </c:pt>
                <c:pt idx="58">
                  <c:v>265</c:v>
                </c:pt>
                <c:pt idx="59">
                  <c:v>257.75</c:v>
                </c:pt>
                <c:pt idx="60">
                  <c:v>250</c:v>
                </c:pt>
                <c:pt idx="61">
                  <c:v>243</c:v>
                </c:pt>
                <c:pt idx="62">
                  <c:v>238</c:v>
                </c:pt>
                <c:pt idx="63">
                  <c:v>235</c:v>
                </c:pt>
                <c:pt idx="64">
                  <c:v>234</c:v>
                </c:pt>
                <c:pt idx="65">
                  <c:v>235</c:v>
                </c:pt>
                <c:pt idx="66">
                  <c:v>238</c:v>
                </c:pt>
                <c:pt idx="67">
                  <c:v>243</c:v>
                </c:pt>
                <c:pt idx="68">
                  <c:v>250</c:v>
                </c:pt>
                <c:pt idx="69">
                  <c:v>259</c:v>
                </c:pt>
                <c:pt idx="70">
                  <c:v>270</c:v>
                </c:pt>
                <c:pt idx="71">
                  <c:v>283</c:v>
                </c:pt>
              </c:numCache>
            </c:numRef>
          </c:yVal>
          <c:smooth val="1"/>
        </c:ser>
        <c:axId val="91337088"/>
        <c:axId val="91338624"/>
      </c:scatterChart>
      <c:valAx>
        <c:axId val="91337088"/>
        <c:scaling>
          <c:orientation val="minMax"/>
        </c:scaling>
        <c:axPos val="b"/>
        <c:numFmt formatCode="General" sourceLinked="1"/>
        <c:tickLblPos val="nextTo"/>
        <c:crossAx val="91338624"/>
        <c:crosses val="autoZero"/>
        <c:crossBetween val="midCat"/>
      </c:valAx>
      <c:valAx>
        <c:axId val="91338624"/>
        <c:scaling>
          <c:orientation val="minMax"/>
        </c:scaling>
        <c:axPos val="l"/>
        <c:majorGridlines/>
        <c:numFmt formatCode="General" sourceLinked="1"/>
        <c:tickLblPos val="nextTo"/>
        <c:crossAx val="91337088"/>
        <c:crosses val="autoZero"/>
        <c:crossBetween val="midCat"/>
      </c:valAx>
    </c:plotArea>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4733</Characters>
  <Application>Microsoft Office Word</Application>
  <DocSecurity>0</DocSecurity>
  <Lines>39</Lines>
  <Paragraphs>11</Paragraphs>
  <ScaleCrop>false</ScaleCrop>
  <Company>Hewlett-Packard</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1</cp:revision>
  <dcterms:created xsi:type="dcterms:W3CDTF">2014-05-10T10:15:00Z</dcterms:created>
  <dcterms:modified xsi:type="dcterms:W3CDTF">2014-05-10T10:16:00Z</dcterms:modified>
</cp:coreProperties>
</file>